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eastAsia="zh-CN"/>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铜仁市万山区民生天然气有限公司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lang w:eastAsia="zh-CN"/>
              </w:rPr>
              <w:t>万山区城镇燃气管网安全现状评价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color w:val="auto"/>
                <w:szCs w:val="21"/>
                <w:lang w:eastAsia="zh-CN"/>
              </w:rPr>
              <w:t>城镇燃气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吴子科</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陈美宝</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_GB2312" w:eastAsia="仿宋_GB2312"/>
                <w:sz w:val="24"/>
                <w:lang w:eastAsia="zh-CN"/>
              </w:rPr>
              <w:t>冯</w:t>
            </w:r>
            <w:r>
              <w:rPr>
                <w:rFonts w:hint="eastAsia" w:ascii="仿宋_GB2312" w:eastAsia="仿宋_GB2312"/>
                <w:sz w:val="24"/>
                <w:lang w:val="en-US" w:eastAsia="zh-CN"/>
              </w:rPr>
              <w:t xml:space="preserve">  </w:t>
            </w:r>
            <w:r>
              <w:rPr>
                <w:rFonts w:hint="eastAsia" w:ascii="仿宋_GB2312" w:eastAsia="仿宋_GB2312"/>
                <w:sz w:val="24"/>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欧中锴</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2020.4</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吴子科</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水工结构</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023846</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孟萌萌</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电气</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019246</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欧中锴</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031212</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王永辉</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电气</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034150</w:t>
            </w:r>
          </w:p>
        </w:tc>
        <w:tc>
          <w:tcPr>
            <w:tcW w:w="2662" w:type="dxa"/>
            <w:gridSpan w:val="5"/>
            <w:noWrap w:val="0"/>
            <w:vAlign w:val="center"/>
          </w:tcPr>
          <w:p>
            <w:pPr>
              <w:widowControl/>
              <w:adjustRightInd w:val="0"/>
              <w:snapToGrid w:val="0"/>
              <w:jc w:val="center"/>
              <w:rPr>
                <w:rFonts w:hint="default"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王</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瑶</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油气储运</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017147</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51080054488</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蔡治勇</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火炸药、安全</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003832</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55080052964</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冯</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皓</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机械、化工机械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val="en-US" w:eastAsia="zh-CN"/>
              </w:rPr>
              <w:t>019237</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55130140330</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陈美宝</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lang w:eastAsia="zh-CN"/>
              </w:rPr>
              <w:t>化工机械</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default" w:ascii="仿宋_GB2312" w:hAnsi="宋体" w:eastAsia="仿宋_GB2312" w:cs="宋体"/>
                <w:kern w:val="0"/>
                <w:szCs w:val="21"/>
                <w:lang w:val="en-US" w:eastAsia="zh-CN"/>
              </w:rPr>
              <w:t>016795</w:t>
            </w:r>
          </w:p>
        </w:tc>
        <w:tc>
          <w:tcPr>
            <w:tcW w:w="2662" w:type="dxa"/>
            <w:gridSpan w:val="5"/>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 w:val="21"/>
                <w:szCs w:val="21"/>
                <w:lang w:val="en-US" w:eastAsia="zh-CN" w:bidi="ar-SA"/>
              </w:rPr>
              <w:t>55090076429</w:t>
            </w:r>
          </w:p>
        </w:tc>
        <w:tc>
          <w:tcPr>
            <w:tcW w:w="1663" w:type="dxa"/>
            <w:noWrap w:val="0"/>
            <w:vAlign w:val="center"/>
          </w:tcPr>
          <w:p>
            <w:pPr>
              <w:widowControl/>
              <w:adjustRightInd w:val="0"/>
              <w:snapToGrid w:val="0"/>
              <w:jc w:val="center"/>
              <w:rPr>
                <w:rFonts w:hint="eastAsia" w:ascii="仿宋_GB2312" w:hAnsi="宋体" w:eastAsia="仿宋_GB2312" w:cs="宋体"/>
                <w:kern w:val="0"/>
                <w:sz w:val="21"/>
                <w:szCs w:val="21"/>
                <w:lang w:val="en-US" w:eastAsia="zh-CN" w:bidi="ar-SA"/>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宋体"/>
                <w:b/>
                <w:bCs/>
                <w:szCs w:val="21"/>
                <w:lang w:eastAsia="zh-CN"/>
              </w:rPr>
              <w:t>项目简介：</w:t>
            </w:r>
            <w:r>
              <w:rPr>
                <w:rFonts w:hint="eastAsia" w:ascii="仿宋" w:hAnsi="仿宋" w:eastAsia="仿宋" w:cs="Times New Roman"/>
                <w:szCs w:val="21"/>
                <w:lang w:eastAsia="zh-CN"/>
              </w:rPr>
              <w:t>1、铜仁市万山区民生天然气有限公司成立于2018年12月27日，是铜仁民生天然气（集团）有限公司的全资子公司，法定代表人徐远庆，住所位于铜仁市万山区仁山办事处政务服务中心，经营范围主要是城镇燃气（城市管道）销售；燃器具销售、安装、维修。</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2、该公司主要致力于贵州省铜仁市万山区境内城镇燃气管网的建设和运行管理，包括接管铜仁民生天然气（集团）有限公司早年在万山区已建成的城镇燃气管网。</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3、该公司于2019年8月与铜仁市万山区人民政府签订了《管道燃气特许经营协议》，并取得了《铜仁市万山区城市燃气特许经营授权书》。目前，在铜仁市万山区拥有居民用户约1300余户。</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4、本次安全评价范围为铜仁市万山区民生天然气有限公司位于万山区已建成的9.36km城镇燃气管网，包括血站红绿灯路口至净山酒业公司段的3.25km、大电小区至仁山公园段的5.3km和仁山公园大门口至楚溪大酒店段的0.81km。于2016年至2018年陆续完工。</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5、该城镇燃气管网的设计压力为0.4MPa，中间无压力分级。根据《城镇燃气设计规范》（GB50028-2006）中“表6.1.6 城镇燃气管道设计压力分级”规定，该城镇燃气管网的压力等级为中压A级。</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6、穿跨越工程。整个城镇燃气管网中，共有3处跨越河流，3处穿越城市主干道。3处跨越河流中的2处跨越点位于朱砂大酒店旁，第3处跨越点位于万和星城旁。跨越河流均采用随桥梁方式敷设。3处穿越公路点分别位于仁山公园营销中心附近、仁山公园大门口前和西南国际商贸城西侧，跨越道路为方兴路、桂花大道和楚溪大道，均采用聚乙烯管道埋地垂直穿越的方式。</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7、管道材质采用聚乙烯燃气管道和20#无缝钢管两种，其中聚乙烯燃气管道的管径有DN160、DN110、DN90和DN50四种规格；20#无缝钢管的管径有DN150和DN80两种规格。</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8、埋地敷设的管道均采用聚乙烯燃气管道；跨越河流采用20#无缝钢管。</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9、施工结束后，对每条管道进行了吹扫、强度压力试验和气密性压力试验，且保存了相应记录。另外，对管道进行了定期检测，检测结论为允许运行。</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10、该项目潜在的危险有害因素有火灾、爆炸、车辆伤害、机械伤害、触电、灼烫等，其中火灾与爆炸的风险相对较大，只要在营运过程中加强安全管理，严格按安全操作规程进行操作，落实评价报告中的安全对策措施建议，风险能得到有效控制。</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Times New Roman"/>
                <w:szCs w:val="21"/>
                <w:lang w:eastAsia="zh-CN"/>
              </w:rPr>
            </w:pPr>
            <w:r>
              <w:rPr>
                <w:rFonts w:hint="eastAsia" w:ascii="仿宋" w:hAnsi="仿宋" w:eastAsia="仿宋" w:cs="Times New Roman"/>
                <w:szCs w:val="21"/>
                <w:lang w:eastAsia="zh-CN"/>
              </w:rPr>
              <w:t>11、经评价，铜仁市万山区民生天然气有限公司在万山区的9.36km城镇燃气管网（血站红绿灯路口至净山酒业公司段3.25km、大电小区至仁山公园段5.3km、仁山公园大门口至楚溪大酒店段0.81km）满足相关法律法规、标准规范的要求。</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3672840" cy="2754630"/>
                  <wp:effectExtent l="0" t="0" r="3810" b="7620"/>
                  <wp:docPr id="1" name="图片 1" descr="c02d3de7e19fd41dd57f6e300643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02d3de7e19fd41dd57f6e300643037"/>
                          <pic:cNvPicPr>
                            <a:picLocks noChangeAspect="1"/>
                          </pic:cNvPicPr>
                        </pic:nvPicPr>
                        <pic:blipFill>
                          <a:blip r:embed="rId4"/>
                          <a:stretch>
                            <a:fillRect/>
                          </a:stretch>
                        </pic:blipFill>
                        <pic:spPr>
                          <a:xfrm>
                            <a:off x="0" y="0"/>
                            <a:ext cx="3672840" cy="2754630"/>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Times New Roman"/>
                <w:szCs w:val="21"/>
                <w:lang w:eastAsia="zh-CN"/>
              </w:rPr>
            </w:pPr>
            <w:r>
              <w:rPr>
                <w:rFonts w:hint="eastAsia" w:ascii="仿宋" w:hAnsi="仿宋" w:eastAsia="仿宋" w:cs="Times New Roman"/>
                <w:szCs w:val="21"/>
                <w:lang w:eastAsia="zh-CN"/>
              </w:rPr>
              <w:t>吴子科</w:t>
            </w:r>
          </w:p>
          <w:p>
            <w:pPr>
              <w:spacing w:line="3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eastAsia="zh-CN"/>
              </w:rPr>
              <w:t>欧中锴</w:t>
            </w:r>
          </w:p>
        </w:tc>
        <w:tc>
          <w:tcPr>
            <w:tcW w:w="2622" w:type="dxa"/>
            <w:gridSpan w:val="4"/>
            <w:noWrap w:val="0"/>
            <w:vAlign w:val="center"/>
          </w:tcPr>
          <w:p>
            <w:pPr>
              <w:spacing w:line="300" w:lineRule="exact"/>
              <w:jc w:val="center"/>
              <w:rPr>
                <w:rFonts w:hint="eastAsia" w:ascii="仿宋" w:hAnsi="仿宋" w:eastAsia="仿宋" w:cs="Times New Roman"/>
                <w:szCs w:val="21"/>
                <w:lang w:eastAsia="zh-CN"/>
              </w:rPr>
            </w:pPr>
            <w:r>
              <w:rPr>
                <w:rFonts w:hint="eastAsia" w:ascii="仿宋" w:hAnsi="仿宋" w:eastAsia="仿宋" w:cs="Times New Roman"/>
                <w:szCs w:val="21"/>
                <w:lang w:eastAsia="zh-CN"/>
              </w:rPr>
              <w:t>2020.3.11</w:t>
            </w:r>
          </w:p>
          <w:p>
            <w:pPr>
              <w:spacing w:line="3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eastAsia="zh-CN"/>
              </w:rPr>
              <w:t>（首次勘查时间）</w:t>
            </w:r>
          </w:p>
        </w:tc>
        <w:tc>
          <w:tcPr>
            <w:tcW w:w="1226" w:type="dxa"/>
            <w:gridSpan w:val="2"/>
            <w:noWrap w:val="0"/>
            <w:vAlign w:val="center"/>
          </w:tcPr>
          <w:p>
            <w:pPr>
              <w:spacing w:line="300" w:lineRule="exact"/>
              <w:jc w:val="center"/>
              <w:rPr>
                <w:rFonts w:hint="eastAsia" w:ascii="仿宋" w:hAnsi="仿宋" w:eastAsia="仿宋" w:cs="Times New Roman"/>
                <w:szCs w:val="21"/>
                <w:lang w:val="en-US" w:eastAsia="zh-CN"/>
              </w:rPr>
            </w:pPr>
            <w:r>
              <w:rPr>
                <w:rFonts w:hint="eastAsia" w:ascii="仿宋" w:hAnsi="仿宋" w:eastAsia="仿宋" w:cs="Times New Roman"/>
                <w:szCs w:val="21"/>
              </w:rPr>
              <w:t>现场勘查、资料收集</w:t>
            </w:r>
          </w:p>
        </w:tc>
        <w:tc>
          <w:tcPr>
            <w:tcW w:w="3138" w:type="dxa"/>
            <w:gridSpan w:val="5"/>
            <w:noWrap w:val="0"/>
            <w:vAlign w:val="center"/>
          </w:tcPr>
          <w:p>
            <w:pPr>
              <w:spacing w:line="300" w:lineRule="exact"/>
              <w:jc w:val="center"/>
              <w:rPr>
                <w:rFonts w:hint="eastAsia" w:ascii="仿宋" w:hAnsi="仿宋" w:eastAsia="仿宋" w:cs="Times New Roman"/>
                <w:szCs w:val="21"/>
                <w:lang w:val="en-US" w:eastAsia="zh-CN"/>
              </w:rPr>
            </w:pPr>
            <w:r>
              <w:rPr>
                <w:rFonts w:hint="eastAsia" w:ascii="仿宋" w:hAnsi="仿宋" w:eastAsia="仿宋" w:cs="Times New Roman"/>
                <w:szCs w:val="21"/>
              </w:rPr>
              <w:t>见《不符合项整改意见表》</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1C045F9"/>
    <w:rsid w:val="1B492CCF"/>
    <w:rsid w:val="22C37940"/>
    <w:rsid w:val="2E22325B"/>
    <w:rsid w:val="3247491B"/>
    <w:rsid w:val="339250BF"/>
    <w:rsid w:val="404F4A4A"/>
    <w:rsid w:val="4FF92433"/>
    <w:rsid w:val="61CE07F8"/>
    <w:rsid w:val="63313478"/>
    <w:rsid w:val="6C8A1A5B"/>
    <w:rsid w:val="6D362E7A"/>
    <w:rsid w:val="71FA4B94"/>
    <w:rsid w:val="72A42401"/>
    <w:rsid w:val="7C290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CS正文"/>
    <w:basedOn w:val="1"/>
    <w:qFormat/>
    <w:uiPriority w:val="0"/>
    <w:pPr>
      <w:adjustRightInd w:val="0"/>
      <w:snapToGrid w:val="0"/>
      <w:spacing w:line="360" w:lineRule="auto"/>
      <w:ind w:firstLine="200" w:firstLineChars="200"/>
    </w:pPr>
    <w:rPr>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2020-08-06T08:16:18Z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