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4090"/>
      <w:bookmarkStart w:id="1" w:name="_Toc16094"/>
      <w:bookmarkStart w:id="2" w:name="_Toc16246"/>
      <w:bookmarkStart w:id="3" w:name="_Toc27661"/>
      <w:bookmarkStart w:id="4" w:name="_Toc29322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中国石化江汉油田分公司采气一厂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红页11HF 井试采配套地面工程安全预评价报告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林波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2025.01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S011053000110192002943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  楠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S011053000110193002251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罗  刚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S011053000110192002961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赵紫微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S011053000110202001889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S011053000110192002987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高创波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采油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S011053000110202001824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项目主要建设内容包括：</w:t>
            </w:r>
            <w:r>
              <w:rPr>
                <w:rStyle w:val="6"/>
                <w:rFonts w:hint="eastAsia" w:ascii="仿宋" w:hAnsi="仿宋" w:eastAsia="仿宋"/>
                <w:sz w:val="21"/>
                <w:szCs w:val="21"/>
              </w:rPr>
              <w:t>新建红页11HF 试采站1座，规模</w:t>
            </w:r>
            <w:r>
              <w:rPr>
                <w:rFonts w:hint="eastAsia" w:ascii="仿宋" w:hAnsi="仿宋" w:eastAsia="仿宋" w:cs="Arial"/>
                <w:szCs w:val="21"/>
              </w:rPr>
              <w:t>6×10</w:t>
            </w:r>
            <w:r>
              <w:rPr>
                <w:rFonts w:hint="eastAsia" w:ascii="仿宋" w:hAnsi="仿宋" w:eastAsia="仿宋" w:cs="Arial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 w:cs="Arial"/>
                <w:szCs w:val="21"/>
              </w:rPr>
              <w:t>m</w:t>
            </w:r>
            <w:r>
              <w:rPr>
                <w:rFonts w:hint="eastAsia" w:ascii="仿宋" w:hAnsi="仿宋" w:eastAsia="仿宋" w:cs="Arial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Arial"/>
                <w:szCs w:val="21"/>
              </w:rPr>
              <w:t>/d，</w:t>
            </w:r>
            <w:r>
              <w:rPr>
                <w:rStyle w:val="6"/>
                <w:rFonts w:hint="eastAsia" w:ascii="仿宋" w:hAnsi="仿宋" w:eastAsia="仿宋"/>
                <w:sz w:val="21"/>
                <w:szCs w:val="21"/>
              </w:rPr>
              <w:t>主要设备包括：</w:t>
            </w:r>
            <w:r>
              <w:rPr>
                <w:rFonts w:hint="eastAsia" w:ascii="仿宋" w:hAnsi="仿宋" w:eastAsia="仿宋" w:cs="Arial"/>
                <w:szCs w:val="21"/>
              </w:rPr>
              <w:t>6.3MPa DN800×3200计量分离器橇2座（利旧1座）、DN2000×6000闪蒸分离器橇1座、DN1000×4000放空分液罐撬1座、双氧水加注橇1座、DN150 H=20m放空火炬1套；相关LNG处理装置（脱碳脱硫、脱水拖汞、LNG液化等）；以及与之相关的供配电、给排水等公辅工程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510790" cy="3442970"/>
                  <wp:effectExtent l="0" t="0" r="381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0790" cy="3442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 波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2025.01.07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D02ED2"/>
    <w:rsid w:val="07D02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="Calibri" w:hAnsi="Calibri"/>
      <w:sz w:val="18"/>
      <w:szCs w:val="18"/>
    </w:rPr>
  </w:style>
  <w:style w:type="character" w:customStyle="1" w:styleId="6">
    <w:name w:val="正文cmb Char"/>
    <w:link w:val="7"/>
    <w:uiPriority w:val="0"/>
    <w:rPr>
      <w:rFonts w:ascii="Arial" w:hAnsi="Arial"/>
      <w:color w:val="000000"/>
      <w:kern w:val="0"/>
      <w:sz w:val="28"/>
    </w:rPr>
  </w:style>
  <w:style w:type="paragraph" w:customStyle="1" w:styleId="7">
    <w:name w:val="正文cmb"/>
    <w:basedOn w:val="1"/>
    <w:link w:val="6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/>
      <w:color w:val="000000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2025-02-13T02:49:00Z</dcterms:created>
  <dc:creator>雷楠</dc:creator>
  <cp:lastModifiedBy>雷楠</cp:lastModifiedBy>
  <dcterms:modified xsi:type="dcterms:W3CDTF">2025-02-13T02:49:32Z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